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D" w:rsidRPr="004C6A5D" w:rsidRDefault="004C6A5D" w:rsidP="004C6A5D">
      <w:pPr>
        <w:shd w:val="clear" w:color="auto" w:fill="FFFFFF"/>
        <w:spacing w:before="225" w:after="30" w:line="320" w:lineRule="atLeast"/>
        <w:outlineLvl w:val="0"/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</w:pP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Soluciones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y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mezclas</w:t>
      </w:r>
      <w:proofErr w:type="spellEnd"/>
    </w:p>
    <w:p w:rsidR="004C6A5D" w:rsidRPr="004C6A5D" w:rsidRDefault="004C6A5D" w:rsidP="004C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5D">
        <w:rPr>
          <w:rFonts w:ascii="Arial" w:eastAsia="Times New Roman" w:hAnsi="Arial" w:cs="Arial"/>
          <w:noProof/>
          <w:color w:val="000066"/>
          <w:sz w:val="36"/>
          <w:szCs w:val="36"/>
        </w:rPr>
        <w:drawing>
          <wp:anchor distT="47625" distB="47625" distL="95250" distR="95250" simplePos="0" relativeHeight="251659264" behindDoc="0" locked="0" layoutInCell="1" allowOverlap="0" wp14:anchorId="3AFDA133" wp14:editId="2F1DF64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1" name="Picture 12" descr="&#10;Las mezclas homogéneas y heterogé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#10;Las mezclas homogéneas y heterogén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Antes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entrar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vamos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separar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tipos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</w:t>
      </w:r>
      <w:hyperlink r:id="rId6" w:tooltip="mezclas" w:history="1">
        <w:r w:rsidRPr="004C6A5D">
          <w:rPr>
            <w:rFonts w:ascii="Arial" w:eastAsia="Times New Roman" w:hAnsi="Arial" w:cs="Arial"/>
            <w:color w:val="000033"/>
            <w:sz w:val="27"/>
            <w:szCs w:val="27"/>
            <w:u w:val="single"/>
            <w:shd w:val="clear" w:color="auto" w:fill="FFFFFF"/>
          </w:rPr>
          <w:t>mezclas</w:t>
        </w:r>
        <w:proofErr w:type="spellEnd"/>
      </w:hyperlink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son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grupos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moléculas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están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mezcladas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distribución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completamente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uniforme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Mmmmm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No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forma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fácil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decirlo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científicos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dicen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son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sistemas</w:t>
      </w:r>
      <w:proofErr w:type="spellEnd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homogéneos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Todo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hay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está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esparcido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uniformemente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tipos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tener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poco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cosa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concentración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 en un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comparación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con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Vamos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comparar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(H</w:t>
      </w:r>
      <w:r w:rsidRPr="004C6A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O) con arena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disuelve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se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esparce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todo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vaso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arena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hunde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fondo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azúcar-agua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considerarse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combinación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arena-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4C6A5D" w:rsidRPr="004C6A5D" w:rsidRDefault="004C6A5D" w:rsidP="004C6A5D">
      <w:pPr>
        <w:shd w:val="clear" w:color="auto" w:fill="FFFFFF"/>
        <w:spacing w:before="225" w:after="30" w:line="320" w:lineRule="atLeast"/>
        <w:outlineLvl w:val="0"/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</w:pPr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¿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Puede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haber</w:t>
      </w:r>
      <w:proofErr w:type="spellEnd"/>
      <w:proofErr w:type="gram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cualquier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cosa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en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una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solución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?</w:t>
      </w:r>
    </w:p>
    <w:p w:rsidR="004C6A5D" w:rsidRPr="004C6A5D" w:rsidRDefault="004C6A5D" w:rsidP="004C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decir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sí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Las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6A5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"http://www.kapili.com/es/quimica-para-ninos/materia-solido.html" \o "sólidos" </w:instrText>
      </w:r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C6A5D">
        <w:rPr>
          <w:rFonts w:ascii="Arial" w:eastAsia="Times New Roman" w:hAnsi="Arial" w:cs="Arial"/>
          <w:color w:val="000033"/>
          <w:sz w:val="27"/>
          <w:szCs w:val="27"/>
          <w:u w:val="single"/>
          <w:shd w:val="clear" w:color="auto" w:fill="FFFFFF"/>
        </w:rPr>
        <w:t>sólidos</w:t>
      </w:r>
      <w:proofErr w:type="spellEnd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disueltos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en </w:t>
      </w:r>
      <w:proofErr w:type="spellStart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6A5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"http://www.kapili.com/es/quimica-para-ninos/materia-liquido.html" \o "líquidos" </w:instrText>
      </w:r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C6A5D">
        <w:rPr>
          <w:rFonts w:ascii="Arial" w:eastAsia="Times New Roman" w:hAnsi="Arial" w:cs="Arial"/>
          <w:color w:val="000033"/>
          <w:sz w:val="27"/>
          <w:szCs w:val="27"/>
          <w:u w:val="single"/>
          <w:shd w:val="clear" w:color="auto" w:fill="FFFFFF"/>
        </w:rPr>
        <w:t>líquidos</w:t>
      </w:r>
      <w:proofErr w:type="spellEnd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trabajas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química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preparas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comida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tu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cocina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usualmente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sólidos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también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hyperlink r:id="rId7" w:tooltip="gases" w:history="1">
        <w:r w:rsidRPr="004C6A5D">
          <w:rPr>
            <w:rFonts w:ascii="Arial" w:eastAsia="Times New Roman" w:hAnsi="Arial" w:cs="Arial"/>
            <w:color w:val="000033"/>
            <w:sz w:val="27"/>
            <w:szCs w:val="27"/>
            <w:u w:val="single"/>
            <w:shd w:val="clear" w:color="auto" w:fill="FFFFFF"/>
          </w:rPr>
          <w:t>gases</w:t>
        </w:r>
      </w:hyperlink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disueltos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como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carbonatada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También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haber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gases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gases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Si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cosas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quedan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distribución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uniforme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Probablemente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no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encontrarás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personas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hacen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sólidos-sólidos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Usualmente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empiezan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como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sólidos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/gas/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líquidos-líquidos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después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endurecen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temperatura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ambiente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Ciertas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6A5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"http://www.kapili.com/es/quimica-para-ninos/materia-mezcla2.html" \o "aleaciones" </w:instrText>
      </w:r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C6A5D">
        <w:rPr>
          <w:rFonts w:ascii="Arial" w:eastAsia="Times New Roman" w:hAnsi="Arial" w:cs="Arial"/>
          <w:color w:val="000033"/>
          <w:sz w:val="27"/>
          <w:szCs w:val="27"/>
          <w:u w:val="single"/>
          <w:shd w:val="clear" w:color="auto" w:fill="FFFFFF"/>
        </w:rPr>
        <w:t>aleaciones</w:t>
      </w:r>
      <w:proofErr w:type="spellEnd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con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elementos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metálicos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buenos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ejemplos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sólidas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temperatura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ambiente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7500" w:type="dxa"/>
        <w:jc w:val="center"/>
        <w:tblCellSpacing w:w="0" w:type="dxa"/>
        <w:tblBorders>
          <w:top w:val="single" w:sz="6" w:space="0" w:color="9999CC"/>
          <w:left w:val="single" w:sz="6" w:space="0" w:color="9999CC"/>
          <w:bottom w:val="single" w:sz="6" w:space="0" w:color="9999CC"/>
          <w:right w:val="single" w:sz="6" w:space="0" w:color="9999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5314"/>
      </w:tblGrid>
      <w:tr w:rsidR="004C6A5D" w:rsidRPr="004C6A5D" w:rsidTr="004C6A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99CC"/>
              <w:left w:val="single" w:sz="6" w:space="0" w:color="9999CC"/>
              <w:bottom w:val="single" w:sz="6" w:space="0" w:color="9999CC"/>
              <w:right w:val="single" w:sz="6" w:space="0" w:color="9999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A5D" w:rsidRPr="004C6A5D" w:rsidRDefault="004C6A5D" w:rsidP="004C6A5D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C6A5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Solución</w:t>
            </w:r>
            <w:proofErr w:type="spellEnd"/>
          </w:p>
        </w:tc>
        <w:tc>
          <w:tcPr>
            <w:tcW w:w="0" w:type="auto"/>
            <w:tcBorders>
              <w:top w:val="single" w:sz="6" w:space="0" w:color="9999CC"/>
              <w:left w:val="single" w:sz="6" w:space="0" w:color="9999CC"/>
              <w:bottom w:val="single" w:sz="6" w:space="0" w:color="9999CC"/>
              <w:right w:val="single" w:sz="6" w:space="0" w:color="9999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A5D" w:rsidRPr="004C6A5D" w:rsidRDefault="004C6A5D" w:rsidP="004C6A5D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C6A5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Ejemplo</w:t>
            </w:r>
            <w:proofErr w:type="spellEnd"/>
          </w:p>
        </w:tc>
      </w:tr>
      <w:tr w:rsidR="004C6A5D" w:rsidRPr="004C6A5D" w:rsidTr="004C6A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9999CC"/>
              <w:left w:val="single" w:sz="6" w:space="0" w:color="9999CC"/>
              <w:bottom w:val="single" w:sz="6" w:space="0" w:color="9999CC"/>
              <w:right w:val="single" w:sz="6" w:space="0" w:color="99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A5D" w:rsidRPr="004C6A5D" w:rsidRDefault="004C6A5D" w:rsidP="004C6A5D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Gas-Gas</w:t>
            </w:r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Gas-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Líquido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Gas-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Sólido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Líquido-Líquido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Líquido-Sólido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Sólido-Sólido</w:t>
            </w:r>
            <w:proofErr w:type="spellEnd"/>
          </w:p>
        </w:tc>
        <w:tc>
          <w:tcPr>
            <w:tcW w:w="0" w:type="auto"/>
            <w:tcBorders>
              <w:top w:val="single" w:sz="6" w:space="0" w:color="9999CC"/>
              <w:left w:val="single" w:sz="6" w:space="0" w:color="9999CC"/>
              <w:bottom w:val="single" w:sz="6" w:space="0" w:color="9999CC"/>
              <w:right w:val="single" w:sz="6" w:space="0" w:color="9999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6A5D" w:rsidRPr="004C6A5D" w:rsidRDefault="004C6A5D" w:rsidP="004C6A5D">
            <w:pPr>
              <w:spacing w:after="0" w:line="260" w:lineRule="atLeast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Aire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Dióxido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carbono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(CO</w:t>
            </w:r>
            <w:r w:rsidRPr="004C6A5D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bscript"/>
              </w:rPr>
              <w:t>2</w:t>
            </w:r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 en el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refresco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Hidrógeno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(H</w:t>
            </w:r>
            <w:r w:rsidRPr="004C6A5D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bscript"/>
              </w:rPr>
              <w:t>2</w:t>
            </w:r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 en el metal de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paladio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Gasolina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Rellenos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dentales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Aleaciones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metal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como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plata</w:t>
            </w:r>
            <w:proofErr w:type="spellEnd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6A5D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fina</w:t>
            </w:r>
            <w:proofErr w:type="spellEnd"/>
          </w:p>
        </w:tc>
      </w:tr>
    </w:tbl>
    <w:p w:rsidR="00861D95" w:rsidRDefault="004C6A5D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anchor distT="47625" distB="47625" distL="95250" distR="95250" simplePos="0" relativeHeight="251660288" behindDoc="0" locked="0" layoutInCell="1" allowOverlap="0" wp14:anchorId="42A5E2E9" wp14:editId="70FECB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2286000"/>
            <wp:effectExtent l="0" t="0" r="0" b="0"/>
            <wp:wrapSquare wrapText="bothSides"/>
            <wp:docPr id="2" name="Picture 13" descr="disuelva solutes en solv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uelva solutes en solven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simple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básicamente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sustancias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van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combinar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ellas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llama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sustancia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).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hará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Como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regla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empírica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usualmente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hay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Ten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paciencia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con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siguiente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oración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mientras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explicamos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cantidad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disolverse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por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define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como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solubilidad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Son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muchas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palabras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con "sol".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ciencia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tiene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nombres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especiales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todo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Hay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nombres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para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diferentes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tipos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homogéneas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refieren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partículas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muy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pequeñas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haber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escuchado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los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coloides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coloides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partículas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grandes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coloides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son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usualmente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nebulosos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lechosos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hecho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leche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coloide</w:t>
      </w:r>
      <w:proofErr w:type="spellEnd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emulsionado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También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escuchar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coloides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si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estudias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tierra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leche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coloide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orgánico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mientras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tierras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hechas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coloides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inorgánicos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como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arcilla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</w:p>
    <w:p w:rsidR="004C6A5D" w:rsidRDefault="004C6A5D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</w:p>
    <w:p w:rsidR="004C6A5D" w:rsidRPr="004C6A5D" w:rsidRDefault="004C6A5D" w:rsidP="004C6A5D">
      <w:pPr>
        <w:shd w:val="clear" w:color="auto" w:fill="FFFFFF"/>
        <w:spacing w:before="225" w:after="30" w:line="320" w:lineRule="atLeast"/>
        <w:outlineLvl w:val="0"/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</w:pP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Cómo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hacer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soluciones</w:t>
      </w:r>
      <w:proofErr w:type="spellEnd"/>
    </w:p>
    <w:p w:rsidR="004C6A5D" w:rsidRPr="004C6A5D" w:rsidRDefault="004C6A5D" w:rsidP="004C6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5D">
        <w:rPr>
          <w:rFonts w:ascii="Arial" w:eastAsia="Times New Roman" w:hAnsi="Arial" w:cs="Arial"/>
          <w:noProof/>
          <w:color w:val="000066"/>
          <w:sz w:val="36"/>
          <w:szCs w:val="36"/>
        </w:rPr>
        <w:drawing>
          <wp:anchor distT="47625" distB="47625" distL="95250" distR="95250" simplePos="0" relativeHeight="251662336" behindDoc="0" locked="0" layoutInCell="1" allowOverlap="0" wp14:anchorId="72506F2B" wp14:editId="12C5B59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3" name="Picture 14" descr="Solutes se extienden en la 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lutes se extienden en la solu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Entonces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, ¿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qué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sucede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?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¿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Cómo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haces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esa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?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los dos </w:t>
      </w:r>
      <w:proofErr w:type="spellStart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6A5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"http://www.kapili.com/es/quimica-para-ninos/materia-liquido.html" \o "líquidos" </w:instrText>
      </w:r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C6A5D">
        <w:rPr>
          <w:rFonts w:ascii="Arial" w:eastAsia="Times New Roman" w:hAnsi="Arial" w:cs="Arial"/>
          <w:color w:val="000033"/>
          <w:sz w:val="27"/>
          <w:szCs w:val="27"/>
          <w:u w:val="single"/>
          <w:shd w:val="clear" w:color="auto" w:fill="FFFFFF"/>
        </w:rPr>
        <w:t>líquidos</w:t>
      </w:r>
      <w:proofErr w:type="spellEnd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agita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así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fácil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ciencia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hace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tres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pasos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leas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pasos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recuerda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...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=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=Agua (H</w:t>
      </w:r>
      <w:r w:rsidRPr="004C6A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)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Sistema=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Vaso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1.</w:t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El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coloca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el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y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concentrado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lentamente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deshace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pedazos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Si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empiezas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agitar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proceso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ocurre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mucho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rápido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2.</w:t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Las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moléculas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del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empiezan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salirse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camino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le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hacen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un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espacio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moléculas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Ejemplo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: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tiene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hacer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espacio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para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moléculas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esparzan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3.</w:t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interactúan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con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hasta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concentración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sustancias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igual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todo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sistema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concentración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sería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igual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muestra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la parte superior, media o inferior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del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vaso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4C6A5D" w:rsidRPr="004C6A5D" w:rsidRDefault="004C6A5D" w:rsidP="004C6A5D">
      <w:pPr>
        <w:shd w:val="clear" w:color="auto" w:fill="FFFFFF"/>
        <w:spacing w:before="225" w:after="30" w:line="320" w:lineRule="atLeast"/>
        <w:outlineLvl w:val="0"/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</w:pPr>
      <w:proofErr w:type="gram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¿Hay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algo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que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pueda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cambiar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las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 xml:space="preserve"> </w:t>
      </w:r>
      <w:proofErr w:type="spellStart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soluciones</w:t>
      </w:r>
      <w:proofErr w:type="spellEnd"/>
      <w:r w:rsidRPr="004C6A5D">
        <w:rPr>
          <w:rFonts w:ascii="Arial" w:eastAsia="Times New Roman" w:hAnsi="Arial" w:cs="Arial"/>
          <w:b/>
          <w:bCs/>
          <w:color w:val="000066"/>
          <w:kern w:val="36"/>
          <w:sz w:val="36"/>
          <w:szCs w:val="36"/>
        </w:rPr>
        <w:t>?</w:t>
      </w:r>
      <w:proofErr w:type="gramEnd"/>
    </w:p>
    <w:p w:rsidR="004C6A5D" w:rsidRDefault="004C6A5D" w:rsidP="004C6A5D">
      <w:r w:rsidRPr="004C6A5D">
        <w:rPr>
          <w:rFonts w:ascii="Arial" w:eastAsia="Times New Roman" w:hAnsi="Arial" w:cs="Arial"/>
          <w:noProof/>
          <w:color w:val="000066"/>
          <w:sz w:val="36"/>
          <w:szCs w:val="36"/>
        </w:rPr>
        <w:drawing>
          <wp:anchor distT="47625" distB="47625" distL="95250" distR="95250" simplePos="0" relativeHeight="251663360" behindDoc="0" locked="0" layoutInCell="1" allowOverlap="0" wp14:anchorId="36345290" wp14:editId="10501C0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1714500"/>
            <wp:effectExtent l="0" t="0" r="0" b="0"/>
            <wp:wrapSquare wrapText="bothSides"/>
            <wp:docPr id="4" name="Picture 15" descr="Aumentos de temperatura aumentan la solu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mentos de temperatura aumentan la solubil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Por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supuesto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Todo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tipo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cosas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cambiar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concentraciones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sustancias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científicos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usan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palabra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solubilidad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solubilidad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capacidad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del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).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ya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hayas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visto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efecto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temperatura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tus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clases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Usualmente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calientas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solvente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materiales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proofErr w:type="spellStart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6A5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"http://www.kapili.com/es/quimica-para-ninos/materia-solido.html" \o "sólidos" </w:instrText>
      </w:r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C6A5D">
        <w:rPr>
          <w:rFonts w:ascii="Arial" w:eastAsia="Times New Roman" w:hAnsi="Arial" w:cs="Arial"/>
          <w:color w:val="000033"/>
          <w:sz w:val="27"/>
          <w:szCs w:val="27"/>
          <w:u w:val="single"/>
          <w:shd w:val="clear" w:color="auto" w:fill="FFFFFF"/>
        </w:rPr>
        <w:t>sólidos</w:t>
      </w:r>
      <w:proofErr w:type="spellEnd"/>
      <w:r w:rsidRPr="004C6A5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menos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gases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dióxido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carbono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). Si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tu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amiga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ella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podría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mucha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caliente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fría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noProof/>
          <w:color w:val="000066"/>
          <w:sz w:val="36"/>
          <w:szCs w:val="36"/>
        </w:rPr>
        <w:drawing>
          <wp:anchor distT="47625" distB="47625" distL="95250" distR="95250" simplePos="0" relativeHeight="251664384" behindDoc="0" locked="0" layoutInCell="1" allowOverlap="0" wp14:anchorId="62888575" wp14:editId="2A74C55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86000" cy="2286000"/>
            <wp:effectExtent l="0" t="0" r="0" b="0"/>
            <wp:wrapSquare wrapText="bothSides"/>
            <wp:docPr id="5" name="Picture 16" descr="Burbujas de CO2 escapan de tu refre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rbujas de CO2 escapan de tu refresc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continuación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lista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factores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está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</w:t>
      </w:r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presión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aumentas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presión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circundante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usualmente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hyperlink r:id="rId12" w:tooltip="gases" w:history="1">
        <w:r w:rsidRPr="004C6A5D">
          <w:rPr>
            <w:rFonts w:ascii="Arial" w:eastAsia="Times New Roman" w:hAnsi="Arial" w:cs="Arial"/>
            <w:color w:val="000033"/>
            <w:sz w:val="27"/>
            <w:szCs w:val="27"/>
            <w:u w:val="single"/>
            <w:shd w:val="clear" w:color="auto" w:fill="FFFFFF"/>
          </w:rPr>
          <w:t>gases</w:t>
        </w:r>
        <w:proofErr w:type="spellEnd"/>
      </w:hyperlink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en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líquido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Piensa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tu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lata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refresco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Puede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mantener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efervescencia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dentro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porque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contenidos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lata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están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bajo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alta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presión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Piensa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botella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refresco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primera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vez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abres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botella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salen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muchas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burbujas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Si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abres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cierras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cuantas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horas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saldrán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menos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menos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burbujas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abriste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botella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por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primera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vez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perdiste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alta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presión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mantenía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gas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dióxido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carbono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(CO</w:t>
      </w:r>
      <w:r w:rsidRPr="004C6A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 en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C6A5D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Por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último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está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 </w:t>
      </w:r>
      <w:proofErr w:type="spellStart"/>
      <w:r w:rsidRPr="004C6A5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estructura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 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sustancias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Algunas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cosas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disuelven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más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fácilmente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tipo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sustancias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que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otro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disuelve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fácilmente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aceite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no.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tiene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baja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solubilidad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cuanto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al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aceite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Como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aceite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no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soluble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nunca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disolverá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realmente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aceite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mezcla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, no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solución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Los dos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tipos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de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moléculas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aceite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 no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están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distribuidas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uniformemente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sistema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El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azúcar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la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sal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NaCl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tienen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alta</w:t>
      </w:r>
      <w:proofErr w:type="spellEnd"/>
      <w:proofErr w:type="gram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solubilidad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en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agua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rápidamente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hacen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soluciones</w:t>
      </w:r>
      <w:proofErr w:type="spellEnd"/>
      <w:r w:rsidRPr="004C6A5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 </w:t>
      </w:r>
      <w:bookmarkStart w:id="0" w:name="_GoBack"/>
      <w:bookmarkEnd w:id="0"/>
    </w:p>
    <w:sectPr w:rsidR="004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5D"/>
    <w:rsid w:val="00213845"/>
    <w:rsid w:val="00317521"/>
    <w:rsid w:val="004C6A5D"/>
    <w:rsid w:val="00904567"/>
    <w:rsid w:val="00E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ili.com/es/quimica-para-ninos/materia-gas.html" TargetMode="External"/><Relationship Id="rId12" Type="http://schemas.openxmlformats.org/officeDocument/2006/relationships/hyperlink" Target="http://www.kapili.com/es/quimica-para-ninos/materia-g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ili.com/es/quimica-para-ninos/materia-mezcla1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2014-02-14T15:33:00Z</dcterms:created>
  <dcterms:modified xsi:type="dcterms:W3CDTF">2014-02-14T15:33:00Z</dcterms:modified>
</cp:coreProperties>
</file>